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6452" w14:textId="7ADDEC02" w:rsidR="006457E5" w:rsidRPr="00EA56FA" w:rsidRDefault="006457E5" w:rsidP="00EA56FA">
      <w:pPr>
        <w:jc w:val="center"/>
        <w:rPr>
          <w:rFonts w:ascii="Times New Roman" w:hAnsi="Times New Roman" w:cs="Times New Roman"/>
          <w:b/>
          <w:bCs/>
        </w:rPr>
      </w:pPr>
    </w:p>
    <w:p w14:paraId="35C7D200" w14:textId="2EB4087B" w:rsidR="00EA56FA" w:rsidRDefault="00DB5BF9" w:rsidP="00D0743B">
      <w:pPr>
        <w:ind w:left="4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A56FA">
        <w:rPr>
          <w:rFonts w:asciiTheme="majorBidi" w:hAnsiTheme="majorBidi" w:cstheme="majorBidi"/>
          <w:b/>
          <w:bCs/>
          <w:sz w:val="24"/>
          <w:szCs w:val="24"/>
        </w:rPr>
        <w:t xml:space="preserve">OBRAZLOŽENJE PRIJEDLOGA </w:t>
      </w:r>
    </w:p>
    <w:p w14:paraId="3439098B" w14:textId="0488BB20" w:rsidR="00D0743B" w:rsidRDefault="00D0743B" w:rsidP="00D0743B">
      <w:pPr>
        <w:ind w:left="4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STRATEGIJE UPRAVLJANJA IMOVINOM OPĆINE STARI MIKANOVCI</w:t>
      </w:r>
    </w:p>
    <w:p w14:paraId="1116FCF4" w14:textId="6D24F92E" w:rsidR="00D0743B" w:rsidRDefault="00D0743B" w:rsidP="00D0743B">
      <w:pPr>
        <w:ind w:left="4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ZA RAZDOBLJE 2025. - 2030. GODINE</w:t>
      </w:r>
    </w:p>
    <w:p w14:paraId="41E425D2" w14:textId="77777777" w:rsidR="00D0743B" w:rsidRDefault="00D0743B" w:rsidP="00D0743B">
      <w:pPr>
        <w:ind w:left="45"/>
        <w:rPr>
          <w:rFonts w:asciiTheme="majorBidi" w:hAnsiTheme="majorBidi" w:cstheme="majorBidi"/>
          <w:b/>
          <w:bCs/>
          <w:sz w:val="24"/>
          <w:szCs w:val="24"/>
        </w:rPr>
      </w:pPr>
    </w:p>
    <w:p w14:paraId="4A59762D" w14:textId="493C2337" w:rsidR="00D0743B" w:rsidRPr="00D0743B" w:rsidRDefault="00D0743B" w:rsidP="00D0743B">
      <w:pPr>
        <w:ind w:left="45"/>
        <w:jc w:val="both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 xml:space="preserve">Općina </w:t>
      </w:r>
      <w:r>
        <w:rPr>
          <w:rFonts w:asciiTheme="majorBidi" w:hAnsiTheme="majorBidi" w:cstheme="majorBidi"/>
          <w:sz w:val="24"/>
          <w:szCs w:val="24"/>
        </w:rPr>
        <w:t xml:space="preserve">Stari Mikanovci </w:t>
      </w:r>
      <w:r w:rsidRPr="00D0743B">
        <w:rPr>
          <w:rFonts w:asciiTheme="majorBidi" w:hAnsiTheme="majorBidi" w:cstheme="majorBidi"/>
          <w:sz w:val="24"/>
          <w:szCs w:val="24"/>
        </w:rPr>
        <w:t>u okviru zakonskih odredbi i drugih propisa uređuje pravila i procedure upravljanja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raspolaganja imovinom u svom vlasništvu.</w:t>
      </w:r>
    </w:p>
    <w:p w14:paraId="023BF3AB" w14:textId="501117BE" w:rsidR="00D0743B" w:rsidRPr="00D0743B" w:rsidRDefault="00D0743B" w:rsidP="00D0743B">
      <w:pPr>
        <w:ind w:left="45"/>
        <w:jc w:val="both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 xml:space="preserve">Obveza Općine </w:t>
      </w:r>
      <w:r>
        <w:rPr>
          <w:rFonts w:asciiTheme="majorBidi" w:hAnsiTheme="majorBidi" w:cstheme="majorBidi"/>
          <w:sz w:val="24"/>
          <w:szCs w:val="24"/>
        </w:rPr>
        <w:t>Stari Mikanovci</w:t>
      </w:r>
      <w:r w:rsidRPr="00D0743B">
        <w:rPr>
          <w:rFonts w:asciiTheme="majorBidi" w:hAnsiTheme="majorBidi" w:cstheme="majorBidi"/>
          <w:sz w:val="24"/>
          <w:szCs w:val="24"/>
        </w:rPr>
        <w:t xml:space="preserve"> je urediti upravljanje i raspolaganje imovinom donošenjem Strategije upravljanja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 xml:space="preserve">imovinom za razdoblje od </w:t>
      </w:r>
      <w:r>
        <w:rPr>
          <w:rFonts w:asciiTheme="majorBidi" w:hAnsiTheme="majorBidi" w:cstheme="majorBidi"/>
          <w:sz w:val="24"/>
          <w:szCs w:val="24"/>
        </w:rPr>
        <w:t>6</w:t>
      </w:r>
      <w:r w:rsidRPr="00D0743B">
        <w:rPr>
          <w:rFonts w:asciiTheme="majorBidi" w:hAnsiTheme="majorBidi" w:cstheme="majorBidi"/>
          <w:sz w:val="24"/>
          <w:szCs w:val="24"/>
        </w:rPr>
        <w:t xml:space="preserve"> godina kojom se definiraju dugoročni ciljevi i smjernice upravljanja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imovinom uzimajući u obzir gospodarske i razvojne interese Općine.</w:t>
      </w:r>
    </w:p>
    <w:p w14:paraId="77C6BDAB" w14:textId="66983981" w:rsidR="00D0743B" w:rsidRPr="00D0743B" w:rsidRDefault="00D0743B" w:rsidP="00D0743B">
      <w:pPr>
        <w:ind w:left="45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 xml:space="preserve">Općina </w:t>
      </w:r>
      <w:r>
        <w:rPr>
          <w:rFonts w:asciiTheme="majorBidi" w:hAnsiTheme="majorBidi" w:cstheme="majorBidi"/>
          <w:sz w:val="24"/>
          <w:szCs w:val="24"/>
        </w:rPr>
        <w:t>Stari Mikanovci</w:t>
      </w:r>
      <w:r w:rsidRPr="00D0743B">
        <w:rPr>
          <w:rFonts w:asciiTheme="majorBidi" w:hAnsiTheme="majorBidi" w:cstheme="majorBidi"/>
          <w:sz w:val="24"/>
          <w:szCs w:val="24"/>
        </w:rPr>
        <w:t xml:space="preserve"> dužna je svojom imovinom upravljati učinkovito i razumno, pažnjom dobrog gospodara,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sukladno načelima javnosti, odgovornosti, ekonomičnosti i predvidljivosti.</w:t>
      </w:r>
    </w:p>
    <w:p w14:paraId="4AAF8808" w14:textId="1B6CDE67" w:rsidR="00D0743B" w:rsidRPr="00D0743B" w:rsidRDefault="00D0743B" w:rsidP="00D0743B">
      <w:pPr>
        <w:ind w:left="45"/>
        <w:jc w:val="both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>Načelo javnosti upravljanja imovinom osigurava se propisivanjem pravila i kriterija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upravljanja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imovinom u aktima Općine a koji se donose na temelju pozitivnih zakonskih propisa, određivanjem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ciljeva upravljanja imovinom u Strategiji upravljanja imovinom i Godišnjem planu upravljanja imovinom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te redovitim izvještavanjem javnosti s aktivnostima tijela.</w:t>
      </w:r>
    </w:p>
    <w:p w14:paraId="366B4A66" w14:textId="2990383F" w:rsidR="00D0743B" w:rsidRPr="00D0743B" w:rsidRDefault="00D0743B" w:rsidP="00D0743B">
      <w:pPr>
        <w:ind w:left="45"/>
        <w:jc w:val="both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>Načelo ekonomičnosti osigurava efikasno ostvarivanje gospodarskih, infrastrukturnih,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socijalnih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 xml:space="preserve">drugih ciljeva Općine </w:t>
      </w:r>
      <w:r>
        <w:rPr>
          <w:rFonts w:asciiTheme="majorBidi" w:hAnsiTheme="majorBidi" w:cstheme="majorBidi"/>
          <w:sz w:val="24"/>
          <w:szCs w:val="24"/>
        </w:rPr>
        <w:t>Stari Mikanovci</w:t>
      </w:r>
      <w:r w:rsidRPr="00D0743B">
        <w:rPr>
          <w:rFonts w:asciiTheme="majorBidi" w:hAnsiTheme="majorBidi" w:cstheme="majorBidi"/>
          <w:sz w:val="24"/>
          <w:szCs w:val="24"/>
        </w:rPr>
        <w:t>.</w:t>
      </w:r>
    </w:p>
    <w:p w14:paraId="4D11F9E1" w14:textId="23C63746" w:rsidR="00D0743B" w:rsidRPr="00D0743B" w:rsidRDefault="00D0743B" w:rsidP="00D0743B">
      <w:pPr>
        <w:ind w:left="45"/>
        <w:jc w:val="both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>Načelo predvidljivosti osigurava provođenje načelno jednakog postupanja u istim i sličnim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slučajevima.</w:t>
      </w:r>
    </w:p>
    <w:p w14:paraId="45AC09E0" w14:textId="57584164" w:rsidR="00D0743B" w:rsidRPr="00D0743B" w:rsidRDefault="00D0743B" w:rsidP="00D0743B">
      <w:pPr>
        <w:ind w:left="45"/>
        <w:jc w:val="both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 xml:space="preserve">Strategija upravljanja imovinom u vlasništvu Općine </w:t>
      </w:r>
      <w:r>
        <w:rPr>
          <w:rFonts w:asciiTheme="majorBidi" w:hAnsiTheme="majorBidi" w:cstheme="majorBidi"/>
          <w:sz w:val="24"/>
          <w:szCs w:val="24"/>
        </w:rPr>
        <w:t>Stari Mikanovci</w:t>
      </w:r>
      <w:r w:rsidRPr="00D0743B">
        <w:rPr>
          <w:rFonts w:asciiTheme="majorBidi" w:hAnsiTheme="majorBidi" w:cstheme="majorBidi"/>
          <w:sz w:val="24"/>
          <w:szCs w:val="24"/>
        </w:rPr>
        <w:t xml:space="preserve"> za razdoblje 202</w:t>
      </w:r>
      <w:r>
        <w:rPr>
          <w:rFonts w:asciiTheme="majorBidi" w:hAnsiTheme="majorBidi" w:cstheme="majorBidi"/>
          <w:sz w:val="24"/>
          <w:szCs w:val="24"/>
        </w:rPr>
        <w:t>5</w:t>
      </w:r>
      <w:r w:rsidRPr="00D0743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D0743B">
        <w:rPr>
          <w:rFonts w:asciiTheme="majorBidi" w:hAnsiTheme="majorBidi" w:cstheme="majorBidi"/>
          <w:sz w:val="24"/>
          <w:szCs w:val="24"/>
        </w:rPr>
        <w:t>2030. godine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743B">
        <w:rPr>
          <w:rFonts w:asciiTheme="majorBidi" w:hAnsiTheme="majorBidi" w:cstheme="majorBidi"/>
          <w:sz w:val="24"/>
          <w:szCs w:val="24"/>
        </w:rPr>
        <w:t>sadržava</w:t>
      </w:r>
    </w:p>
    <w:p w14:paraId="7403A7BF" w14:textId="77777777" w:rsidR="00D0743B" w:rsidRPr="00D0743B" w:rsidRDefault="00D0743B" w:rsidP="00D0743B">
      <w:pPr>
        <w:ind w:left="45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>sljedeće elemente:</w:t>
      </w:r>
    </w:p>
    <w:p w14:paraId="4B472E44" w14:textId="77777777" w:rsidR="00D0743B" w:rsidRPr="00D0743B" w:rsidRDefault="00D0743B" w:rsidP="00D0743B">
      <w:pPr>
        <w:ind w:left="45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>1. Opći dio</w:t>
      </w:r>
    </w:p>
    <w:p w14:paraId="04C6C57E" w14:textId="33C83A4A" w:rsidR="00D0743B" w:rsidRPr="00D0743B" w:rsidRDefault="00D0743B" w:rsidP="00D0743B">
      <w:pPr>
        <w:ind w:left="45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 xml:space="preserve">2. Analiza postojećeg stanja </w:t>
      </w:r>
    </w:p>
    <w:p w14:paraId="58931DA2" w14:textId="565DA605" w:rsidR="00D0743B" w:rsidRPr="00D0743B" w:rsidRDefault="00D0743B" w:rsidP="00D0743B">
      <w:pPr>
        <w:ind w:left="45"/>
        <w:jc w:val="lowKashida"/>
        <w:rPr>
          <w:rFonts w:asciiTheme="majorBidi" w:hAnsiTheme="majorBidi" w:cstheme="majorBidi"/>
          <w:sz w:val="24"/>
          <w:szCs w:val="24"/>
        </w:rPr>
      </w:pPr>
      <w:r w:rsidRPr="00D0743B">
        <w:rPr>
          <w:rFonts w:asciiTheme="majorBidi" w:hAnsiTheme="majorBidi" w:cstheme="majorBidi"/>
          <w:sz w:val="24"/>
          <w:szCs w:val="24"/>
        </w:rPr>
        <w:t>3.</w:t>
      </w:r>
      <w:r>
        <w:rPr>
          <w:rFonts w:asciiTheme="majorBidi" w:hAnsiTheme="majorBidi" w:cstheme="majorBidi"/>
          <w:sz w:val="24"/>
          <w:szCs w:val="24"/>
        </w:rPr>
        <w:t xml:space="preserve"> Ciljeve i smjernice za raspolaganje i upravljanje imovinom u razdoblju od 2025.-2030. godine </w:t>
      </w:r>
    </w:p>
    <w:p w14:paraId="36F5EB8A" w14:textId="1E31CC72" w:rsidR="00DF677D" w:rsidRPr="00EA56FA" w:rsidRDefault="00DF677D" w:rsidP="00D0743B">
      <w:pPr>
        <w:spacing w:after="48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</w:p>
    <w:sectPr w:rsidR="00DF677D" w:rsidRPr="00EA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432D"/>
    <w:multiLevelType w:val="hybridMultilevel"/>
    <w:tmpl w:val="BA480828"/>
    <w:lvl w:ilvl="0" w:tplc="7DFA7E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7605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B5"/>
    <w:rsid w:val="000B5FB5"/>
    <w:rsid w:val="001266FA"/>
    <w:rsid w:val="0015017B"/>
    <w:rsid w:val="00332BBB"/>
    <w:rsid w:val="00370B76"/>
    <w:rsid w:val="00387FF5"/>
    <w:rsid w:val="003C15FD"/>
    <w:rsid w:val="004E4944"/>
    <w:rsid w:val="00577E16"/>
    <w:rsid w:val="006457E5"/>
    <w:rsid w:val="00731128"/>
    <w:rsid w:val="007E6D9D"/>
    <w:rsid w:val="008359BA"/>
    <w:rsid w:val="009A0D86"/>
    <w:rsid w:val="00A30FA0"/>
    <w:rsid w:val="00AE077E"/>
    <w:rsid w:val="00C12C6C"/>
    <w:rsid w:val="00D0743B"/>
    <w:rsid w:val="00D12DC6"/>
    <w:rsid w:val="00DB5BF9"/>
    <w:rsid w:val="00DF677D"/>
    <w:rsid w:val="00EA56FA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803E"/>
  <w15:chartTrackingRefBased/>
  <w15:docId w15:val="{E11758F3-E6DF-41AB-ADE4-0C6FBDD9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57E5"/>
    <w:pPr>
      <w:ind w:left="720"/>
      <w:contextualSpacing/>
    </w:pPr>
  </w:style>
  <w:style w:type="paragraph" w:customStyle="1" w:styleId="box466301">
    <w:name w:val="box_466301"/>
    <w:basedOn w:val="Normal"/>
    <w:rsid w:val="0083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općina stari mikanovci</cp:lastModifiedBy>
  <cp:revision>2</cp:revision>
  <dcterms:created xsi:type="dcterms:W3CDTF">2025-06-23T11:53:00Z</dcterms:created>
  <dcterms:modified xsi:type="dcterms:W3CDTF">2025-06-23T11:53:00Z</dcterms:modified>
</cp:coreProperties>
</file>