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6452" w14:textId="7ADDEC02" w:rsidR="006457E5" w:rsidRPr="00EA56FA" w:rsidRDefault="006457E5" w:rsidP="00EA56FA">
      <w:pPr>
        <w:jc w:val="center"/>
        <w:rPr>
          <w:rFonts w:ascii="Times New Roman" w:hAnsi="Times New Roman" w:cs="Times New Roman"/>
          <w:b/>
          <w:bCs/>
        </w:rPr>
      </w:pPr>
    </w:p>
    <w:p w14:paraId="4632FB2C" w14:textId="2CDAA83E" w:rsidR="007248FE" w:rsidRDefault="007248FE" w:rsidP="007248FE">
      <w:pPr>
        <w:spacing w:after="48" w:line="240" w:lineRule="auto"/>
        <w:jc w:val="center"/>
        <w:textAlignment w:val="baseline"/>
        <w:rPr>
          <w:rFonts w:asciiTheme="majorBidi" w:hAnsiTheme="majorBidi" w:cstheme="majorBidi"/>
          <w:sz w:val="24"/>
          <w:szCs w:val="24"/>
        </w:rPr>
      </w:pPr>
      <w:r w:rsidRPr="007248FE">
        <w:rPr>
          <w:rFonts w:asciiTheme="majorBidi" w:hAnsiTheme="majorBidi" w:cstheme="majorBidi"/>
          <w:sz w:val="24"/>
          <w:szCs w:val="24"/>
        </w:rPr>
        <w:t>OBRAZLOŽENJE</w:t>
      </w:r>
    </w:p>
    <w:p w14:paraId="3C833BCC" w14:textId="47D6A0BF" w:rsidR="007248FE" w:rsidRDefault="007248FE" w:rsidP="007248FE">
      <w:pPr>
        <w:spacing w:after="48" w:line="240" w:lineRule="auto"/>
        <w:jc w:val="center"/>
        <w:textAlignment w:val="baseline"/>
        <w:rPr>
          <w:rFonts w:asciiTheme="majorBidi" w:hAnsiTheme="majorBidi" w:cstheme="majorBidi"/>
          <w:sz w:val="24"/>
          <w:szCs w:val="24"/>
        </w:rPr>
      </w:pPr>
      <w:r w:rsidRPr="007248FE">
        <w:rPr>
          <w:rFonts w:asciiTheme="majorBidi" w:hAnsiTheme="majorBidi" w:cstheme="majorBidi"/>
          <w:sz w:val="24"/>
          <w:szCs w:val="24"/>
        </w:rPr>
        <w:t xml:space="preserve">Akcijskog plana gradnje i/ili rekonstrukcije javne rasvjete </w:t>
      </w:r>
      <w:r>
        <w:rPr>
          <w:rFonts w:asciiTheme="majorBidi" w:hAnsiTheme="majorBidi" w:cstheme="majorBidi"/>
          <w:sz w:val="24"/>
          <w:szCs w:val="24"/>
        </w:rPr>
        <w:t>Općine Stari Mikanovci</w:t>
      </w:r>
    </w:p>
    <w:p w14:paraId="53D3AC15" w14:textId="77777777" w:rsidR="007248FE" w:rsidRDefault="007248FE" w:rsidP="007248FE">
      <w:pPr>
        <w:spacing w:after="48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</w:p>
    <w:p w14:paraId="5E89232E" w14:textId="77777777" w:rsidR="007248FE" w:rsidRDefault="007248FE" w:rsidP="007248FE">
      <w:pPr>
        <w:spacing w:after="48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7248FE">
        <w:rPr>
          <w:rFonts w:asciiTheme="majorBidi" w:hAnsiTheme="majorBidi" w:cstheme="majorBidi"/>
          <w:sz w:val="24"/>
          <w:szCs w:val="24"/>
        </w:rPr>
        <w:t xml:space="preserve">Obveza izrada akcijskog plana proizlazi iz Zakona o zaštiti od svjetlosnog onečišćenja („Narodne novine“ broj 14/19, u daljnjem tekstu: Zakon). </w:t>
      </w:r>
    </w:p>
    <w:p w14:paraId="747E59F8" w14:textId="77777777" w:rsidR="007248FE" w:rsidRDefault="007248FE" w:rsidP="007248FE">
      <w:pPr>
        <w:spacing w:after="48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7248FE">
        <w:rPr>
          <w:rFonts w:asciiTheme="majorBidi" w:hAnsiTheme="majorBidi" w:cstheme="majorBidi"/>
          <w:sz w:val="24"/>
          <w:szCs w:val="24"/>
        </w:rPr>
        <w:t xml:space="preserve">Akcijski plan gradnje i/ili rekonstrukcije vanjske rasvjete je akt planiranja jedinice lokalne samouprave i Grada Zagreba te operatora vanjske rasvjete kojim se, u skladu sa Zakonom, utvrđuje provedba mjera zaštite od svjetlosnog onečišćenja. </w:t>
      </w:r>
    </w:p>
    <w:p w14:paraId="14ACF5FA" w14:textId="77777777" w:rsidR="007248FE" w:rsidRDefault="007248FE" w:rsidP="007248FE">
      <w:pPr>
        <w:spacing w:after="48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7248FE">
        <w:rPr>
          <w:rFonts w:asciiTheme="majorBidi" w:hAnsiTheme="majorBidi" w:cstheme="majorBidi"/>
          <w:sz w:val="24"/>
          <w:szCs w:val="24"/>
        </w:rPr>
        <w:t xml:space="preserve">On je definiran u članku 13. Zakona. Akcijski plan se izrađuje na temelju plana rasvjete za područje jedinice lokalne samouprave i čini stručnu podlogu za izradu projekta gradnje ili rekonstrukcije javne rasvjete. Akcijskim planom planira se gradnja nove vanjske rasvjete i usklađenje postojeće vanjske rasvjete u vlasništvu jedinica lokalne samouprave odnosno operatora vanjske rasvjete s odredbama navedenog Zakona. </w:t>
      </w:r>
    </w:p>
    <w:p w14:paraId="36F5EB8A" w14:textId="49C8FB6F" w:rsidR="00DF677D" w:rsidRPr="00EA56FA" w:rsidRDefault="007248FE" w:rsidP="007248FE">
      <w:pPr>
        <w:spacing w:after="48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7248FE">
        <w:rPr>
          <w:rFonts w:asciiTheme="majorBidi" w:hAnsiTheme="majorBidi" w:cstheme="majorBidi"/>
          <w:sz w:val="24"/>
          <w:szCs w:val="24"/>
        </w:rPr>
        <w:t xml:space="preserve">Akcijski plan dostavlja se Ministarstvu zaduženome za zaštitu okoliša, te je on sastavni dio informacijskog sustava zaštite okoliša i prirode Republike Hrvatske. Akcijski plan mora biti usklađen s Pravilnikom o zonama rasvijetljenosti, dopuštenim vrijednostima rasvjetljavanja i načinima upravljanja rasvjetnim sustavima („Narodne novine“ broj 128/2022), Pravilnikom o zonama rasvijetljenosti, dopuštenim vrijednostima rasvjetljavanja i načinima upravljanja rasvjetnim sustavima („Narodne novine“ broj 128/2020) i Pravilnikom o sadržaju, formatu i načinu izrade plana rasvjete i akcijskog plana gradnje i/ili rekonstrukcije vanjske rasvjete („Narodne novine“ broj 22/2023) te se samim time predlaže donošenje Odluke o donošenju Akcijskog plana gradnje i/ili rekonstrukcije javne rasvjete </w:t>
      </w:r>
      <w:r>
        <w:rPr>
          <w:rFonts w:asciiTheme="majorBidi" w:hAnsiTheme="majorBidi" w:cstheme="majorBidi"/>
          <w:sz w:val="24"/>
          <w:szCs w:val="24"/>
        </w:rPr>
        <w:t>Općine Stari Mikanovci</w:t>
      </w:r>
      <w:r w:rsidRPr="007248FE">
        <w:rPr>
          <w:rFonts w:asciiTheme="majorBidi" w:hAnsiTheme="majorBidi" w:cstheme="majorBidi"/>
          <w:sz w:val="24"/>
          <w:szCs w:val="24"/>
        </w:rPr>
        <w:t>.</w:t>
      </w:r>
    </w:p>
    <w:sectPr w:rsidR="00DF677D" w:rsidRPr="00EA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432D"/>
    <w:multiLevelType w:val="hybridMultilevel"/>
    <w:tmpl w:val="BA480828"/>
    <w:lvl w:ilvl="0" w:tplc="7DFA7E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7605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B5"/>
    <w:rsid w:val="000B5FB5"/>
    <w:rsid w:val="001266FA"/>
    <w:rsid w:val="0015017B"/>
    <w:rsid w:val="00332BBB"/>
    <w:rsid w:val="00370B76"/>
    <w:rsid w:val="00387FF5"/>
    <w:rsid w:val="003C15FD"/>
    <w:rsid w:val="004E4944"/>
    <w:rsid w:val="004E6CBD"/>
    <w:rsid w:val="00577E16"/>
    <w:rsid w:val="006457E5"/>
    <w:rsid w:val="007248FE"/>
    <w:rsid w:val="00731128"/>
    <w:rsid w:val="007E6D9D"/>
    <w:rsid w:val="008359BA"/>
    <w:rsid w:val="009A0D86"/>
    <w:rsid w:val="00A30FA0"/>
    <w:rsid w:val="00AE077E"/>
    <w:rsid w:val="00C12C6C"/>
    <w:rsid w:val="00D0743B"/>
    <w:rsid w:val="00D12DC6"/>
    <w:rsid w:val="00DB5BF9"/>
    <w:rsid w:val="00DF677D"/>
    <w:rsid w:val="00EA56FA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803E"/>
  <w15:chartTrackingRefBased/>
  <w15:docId w15:val="{E11758F3-E6DF-41AB-ADE4-0C6FBDD9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57E5"/>
    <w:pPr>
      <w:ind w:left="720"/>
      <w:contextualSpacing/>
    </w:pPr>
  </w:style>
  <w:style w:type="paragraph" w:customStyle="1" w:styleId="box466301">
    <w:name w:val="box_466301"/>
    <w:basedOn w:val="Normal"/>
    <w:rsid w:val="0083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općina stari mikanovci</cp:lastModifiedBy>
  <cp:revision>2</cp:revision>
  <dcterms:created xsi:type="dcterms:W3CDTF">2025-06-24T08:27:00Z</dcterms:created>
  <dcterms:modified xsi:type="dcterms:W3CDTF">2025-06-24T08:27:00Z</dcterms:modified>
</cp:coreProperties>
</file>